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4500" w:firstLineChars="1250"/>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b w:val="0"/>
          <w:bCs w:val="0"/>
          <w:sz w:val="36"/>
          <w:szCs w:val="36"/>
          <w:shd w:val="clear" w:fill="FFFFFF"/>
        </w:rPr>
        <w:t>福州市发</w:t>
      </w:r>
      <w:r>
        <w:rPr>
          <w:rFonts w:hint="eastAsia" w:asciiTheme="majorEastAsia" w:hAnsiTheme="majorEastAsia" w:eastAsiaTheme="majorEastAsia" w:cstheme="majorEastAsia"/>
          <w:b w:val="0"/>
          <w:bCs w:val="0"/>
          <w:sz w:val="36"/>
          <w:szCs w:val="36"/>
          <w:shd w:val="clear" w:fill="FFFFFF"/>
          <w:lang w:eastAsia="zh-CN"/>
        </w:rPr>
        <w:t>展</w:t>
      </w:r>
      <w:r>
        <w:rPr>
          <w:rFonts w:hint="eastAsia" w:asciiTheme="majorEastAsia" w:hAnsiTheme="majorEastAsia" w:eastAsiaTheme="majorEastAsia" w:cstheme="majorEastAsia"/>
          <w:b w:val="0"/>
          <w:bCs w:val="0"/>
          <w:sz w:val="36"/>
          <w:szCs w:val="36"/>
          <w:shd w:val="clear" w:fill="FFFFFF"/>
        </w:rPr>
        <w:t>和改革委员会</w:t>
      </w:r>
      <w:r>
        <w:rPr>
          <w:rFonts w:hint="eastAsia" w:asciiTheme="majorEastAsia" w:hAnsiTheme="majorEastAsia" w:eastAsiaTheme="majorEastAsia" w:cstheme="majorEastAsia"/>
          <w:sz w:val="36"/>
          <w:szCs w:val="36"/>
        </w:rPr>
        <w:t>随机抽查事项清单</w:t>
      </w:r>
    </w:p>
    <w:p>
      <w:pPr>
        <w:spacing w:line="580" w:lineRule="exact"/>
        <w:ind w:firstLine="6400" w:firstLineChars="1600"/>
        <w:rPr>
          <w:rFonts w:ascii="方正小标宋简体" w:eastAsia="方正小标宋简体"/>
          <w:sz w:val="40"/>
          <w:szCs w:val="40"/>
        </w:rPr>
      </w:pPr>
      <w:r>
        <w:rPr>
          <w:rFonts w:hint="eastAsia" w:ascii="方正小标宋简体" w:eastAsia="方正小标宋简体"/>
          <w:sz w:val="40"/>
          <w:szCs w:val="40"/>
        </w:rPr>
        <w:t>（20</w:t>
      </w:r>
      <w:r>
        <w:rPr>
          <w:rFonts w:hint="eastAsia" w:ascii="方正小标宋简体" w:eastAsia="方正小标宋简体"/>
          <w:sz w:val="40"/>
          <w:szCs w:val="40"/>
          <w:lang w:val="en-US" w:eastAsia="zh-CN"/>
        </w:rPr>
        <w:t>20</w:t>
      </w:r>
      <w:r>
        <w:rPr>
          <w:rFonts w:hint="eastAsia" w:ascii="方正小标宋简体" w:eastAsia="方正小标宋简体"/>
          <w:sz w:val="40"/>
          <w:szCs w:val="40"/>
        </w:rPr>
        <w:t>年）</w:t>
      </w:r>
    </w:p>
    <w:p>
      <w:pPr>
        <w:spacing w:line="580" w:lineRule="exact"/>
        <w:jc w:val="left"/>
        <w:rPr>
          <w:rFonts w:ascii="仿宋_GB2312" w:eastAsia="仿宋_GB2312"/>
          <w:sz w:val="32"/>
          <w:szCs w:val="32"/>
        </w:rPr>
      </w:pPr>
      <w:r>
        <w:rPr>
          <w:rFonts w:hint="eastAsia" w:ascii="仿宋_GB2312" w:eastAsia="仿宋_GB2312"/>
          <w:sz w:val="32"/>
          <w:szCs w:val="32"/>
        </w:rPr>
        <w:t xml:space="preserve">单位名称:福州市发展和改革委员会            </w:t>
      </w:r>
    </w:p>
    <w:tbl>
      <w:tblPr>
        <w:tblStyle w:val="3"/>
        <w:tblW w:w="15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39"/>
        <w:gridCol w:w="5103"/>
        <w:gridCol w:w="1559"/>
        <w:gridCol w:w="1560"/>
        <w:gridCol w:w="1134"/>
        <w:gridCol w:w="850"/>
        <w:gridCol w:w="850"/>
        <w:gridCol w:w="812"/>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44" w:type="dxa"/>
            <w:vAlign w:val="center"/>
          </w:tcPr>
          <w:p>
            <w:pPr>
              <w:spacing w:line="280" w:lineRule="exact"/>
              <w:jc w:val="center"/>
              <w:rPr>
                <w:rFonts w:ascii="黑体" w:eastAsia="黑体"/>
                <w:sz w:val="28"/>
                <w:szCs w:val="28"/>
              </w:rPr>
            </w:pPr>
            <w:r>
              <w:rPr>
                <w:rFonts w:hint="eastAsia" w:ascii="黑体" w:eastAsia="黑体"/>
                <w:sz w:val="28"/>
                <w:szCs w:val="28"/>
              </w:rPr>
              <w:t>序号</w:t>
            </w:r>
          </w:p>
        </w:tc>
        <w:tc>
          <w:tcPr>
            <w:tcW w:w="1339" w:type="dxa"/>
            <w:vAlign w:val="center"/>
          </w:tcPr>
          <w:p>
            <w:pPr>
              <w:spacing w:line="280" w:lineRule="exact"/>
              <w:jc w:val="center"/>
              <w:rPr>
                <w:rFonts w:ascii="黑体" w:eastAsia="黑体"/>
                <w:sz w:val="28"/>
                <w:szCs w:val="28"/>
              </w:rPr>
            </w:pPr>
            <w:r>
              <w:rPr>
                <w:rFonts w:hint="eastAsia" w:ascii="黑体" w:eastAsia="黑体"/>
                <w:sz w:val="28"/>
                <w:szCs w:val="28"/>
              </w:rPr>
              <w:t>抽查事项</w:t>
            </w:r>
          </w:p>
          <w:p>
            <w:pPr>
              <w:spacing w:line="280" w:lineRule="exact"/>
              <w:jc w:val="center"/>
              <w:rPr>
                <w:rFonts w:ascii="黑体" w:eastAsia="黑体"/>
                <w:sz w:val="28"/>
                <w:szCs w:val="28"/>
              </w:rPr>
            </w:pPr>
            <w:r>
              <w:rPr>
                <w:rFonts w:hint="eastAsia" w:ascii="黑体" w:eastAsia="黑体"/>
                <w:sz w:val="28"/>
                <w:szCs w:val="28"/>
              </w:rPr>
              <w:t>名称</w:t>
            </w:r>
          </w:p>
        </w:tc>
        <w:tc>
          <w:tcPr>
            <w:tcW w:w="5103" w:type="dxa"/>
            <w:vAlign w:val="center"/>
          </w:tcPr>
          <w:p>
            <w:pPr>
              <w:spacing w:line="280" w:lineRule="exact"/>
              <w:jc w:val="center"/>
              <w:rPr>
                <w:rFonts w:ascii="黑体" w:eastAsia="黑体"/>
                <w:sz w:val="28"/>
                <w:szCs w:val="28"/>
              </w:rPr>
            </w:pPr>
            <w:r>
              <w:rPr>
                <w:rFonts w:hint="eastAsia" w:ascii="黑体" w:eastAsia="黑体"/>
                <w:sz w:val="28"/>
                <w:szCs w:val="28"/>
              </w:rPr>
              <w:t>抽查依据</w:t>
            </w:r>
          </w:p>
        </w:tc>
        <w:tc>
          <w:tcPr>
            <w:tcW w:w="1559" w:type="dxa"/>
            <w:vAlign w:val="center"/>
          </w:tcPr>
          <w:p>
            <w:pPr>
              <w:spacing w:line="280" w:lineRule="exact"/>
              <w:jc w:val="center"/>
              <w:rPr>
                <w:rFonts w:ascii="黑体" w:eastAsia="黑体"/>
                <w:sz w:val="28"/>
                <w:szCs w:val="28"/>
              </w:rPr>
            </w:pPr>
            <w:r>
              <w:rPr>
                <w:rFonts w:hint="eastAsia" w:ascii="黑体" w:eastAsia="黑体"/>
                <w:sz w:val="28"/>
                <w:szCs w:val="28"/>
              </w:rPr>
              <w:t>抽查内容</w:t>
            </w:r>
          </w:p>
        </w:tc>
        <w:tc>
          <w:tcPr>
            <w:tcW w:w="1560" w:type="dxa"/>
            <w:vAlign w:val="center"/>
          </w:tcPr>
          <w:p>
            <w:pPr>
              <w:spacing w:line="280" w:lineRule="exact"/>
              <w:jc w:val="center"/>
              <w:rPr>
                <w:rFonts w:ascii="黑体" w:eastAsia="黑体"/>
                <w:sz w:val="28"/>
                <w:szCs w:val="28"/>
              </w:rPr>
            </w:pPr>
            <w:r>
              <w:rPr>
                <w:rFonts w:hint="eastAsia" w:ascii="黑体" w:eastAsia="黑体"/>
                <w:sz w:val="28"/>
                <w:szCs w:val="28"/>
              </w:rPr>
              <w:t>抽查主体</w:t>
            </w:r>
          </w:p>
        </w:tc>
        <w:tc>
          <w:tcPr>
            <w:tcW w:w="1134" w:type="dxa"/>
            <w:vAlign w:val="center"/>
          </w:tcPr>
          <w:p>
            <w:pPr>
              <w:spacing w:line="280" w:lineRule="exact"/>
              <w:jc w:val="center"/>
              <w:rPr>
                <w:rFonts w:hint="eastAsia" w:ascii="黑体" w:eastAsia="黑体"/>
                <w:sz w:val="28"/>
                <w:szCs w:val="28"/>
                <w:lang w:eastAsia="zh-CN"/>
              </w:rPr>
            </w:pPr>
            <w:r>
              <w:rPr>
                <w:rFonts w:hint="eastAsia" w:ascii="黑体" w:eastAsia="黑体"/>
                <w:sz w:val="28"/>
                <w:szCs w:val="28"/>
              </w:rPr>
              <w:t>抽查</w:t>
            </w:r>
            <w:r>
              <w:rPr>
                <w:rFonts w:hint="eastAsia" w:ascii="黑体" w:eastAsia="黑体"/>
                <w:sz w:val="28"/>
                <w:szCs w:val="28"/>
                <w:lang w:eastAsia="zh-CN"/>
              </w:rPr>
              <w:t>对象</w:t>
            </w:r>
          </w:p>
        </w:tc>
        <w:tc>
          <w:tcPr>
            <w:tcW w:w="850" w:type="dxa"/>
            <w:vAlign w:val="center"/>
          </w:tcPr>
          <w:p>
            <w:pPr>
              <w:spacing w:line="280" w:lineRule="exact"/>
              <w:jc w:val="center"/>
              <w:rPr>
                <w:rFonts w:hint="eastAsia" w:ascii="黑体" w:eastAsia="黑体"/>
                <w:sz w:val="28"/>
                <w:szCs w:val="28"/>
                <w:lang w:eastAsia="zh-CN"/>
              </w:rPr>
            </w:pPr>
            <w:r>
              <w:rPr>
                <w:rFonts w:hint="eastAsia" w:ascii="黑体" w:eastAsia="黑体"/>
                <w:sz w:val="28"/>
                <w:szCs w:val="28"/>
              </w:rPr>
              <w:t>抽查</w:t>
            </w:r>
            <w:r>
              <w:rPr>
                <w:rFonts w:hint="eastAsia" w:ascii="黑体" w:eastAsia="黑体"/>
                <w:sz w:val="28"/>
                <w:szCs w:val="28"/>
                <w:lang w:eastAsia="zh-CN"/>
              </w:rPr>
              <w:t>方式</w:t>
            </w:r>
          </w:p>
        </w:tc>
        <w:tc>
          <w:tcPr>
            <w:tcW w:w="850" w:type="dxa"/>
            <w:vAlign w:val="center"/>
          </w:tcPr>
          <w:p>
            <w:pPr>
              <w:spacing w:line="280" w:lineRule="exact"/>
              <w:jc w:val="center"/>
              <w:rPr>
                <w:rFonts w:ascii="黑体" w:eastAsia="黑体"/>
                <w:sz w:val="28"/>
                <w:szCs w:val="28"/>
              </w:rPr>
            </w:pPr>
            <w:r>
              <w:rPr>
                <w:rFonts w:hint="eastAsia" w:ascii="黑体" w:eastAsia="黑体"/>
                <w:sz w:val="28"/>
                <w:szCs w:val="28"/>
              </w:rPr>
              <w:t>抽查比例</w:t>
            </w:r>
          </w:p>
        </w:tc>
        <w:tc>
          <w:tcPr>
            <w:tcW w:w="812" w:type="dxa"/>
            <w:vAlign w:val="center"/>
          </w:tcPr>
          <w:p>
            <w:pPr>
              <w:spacing w:line="280" w:lineRule="exact"/>
              <w:jc w:val="center"/>
              <w:rPr>
                <w:rFonts w:ascii="黑体" w:eastAsia="黑体"/>
                <w:sz w:val="28"/>
                <w:szCs w:val="28"/>
              </w:rPr>
            </w:pPr>
            <w:r>
              <w:rPr>
                <w:rFonts w:hint="eastAsia" w:ascii="黑体" w:eastAsia="黑体"/>
                <w:sz w:val="28"/>
                <w:szCs w:val="28"/>
              </w:rPr>
              <w:t>抽查频次</w:t>
            </w:r>
          </w:p>
        </w:tc>
        <w:tc>
          <w:tcPr>
            <w:tcW w:w="1237" w:type="dxa"/>
            <w:vAlign w:val="center"/>
          </w:tcPr>
          <w:p>
            <w:pPr>
              <w:spacing w:line="280" w:lineRule="exact"/>
              <w:jc w:val="center"/>
              <w:rPr>
                <w:rFonts w:ascii="黑体" w:eastAsia="黑体"/>
                <w:sz w:val="28"/>
                <w:szCs w:val="28"/>
              </w:rPr>
            </w:pPr>
            <w:r>
              <w:rPr>
                <w:rFonts w:hint="eastAsia" w:ascii="黑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644" w:type="dxa"/>
            <w:vAlign w:val="center"/>
          </w:tcPr>
          <w:p>
            <w:pPr>
              <w:spacing w:line="280" w:lineRule="exact"/>
              <w:jc w:val="center"/>
              <w:rPr>
                <w:rFonts w:ascii="仿宋_GB2312" w:eastAsia="仿宋_GB2312"/>
                <w:sz w:val="24"/>
              </w:rPr>
            </w:pPr>
            <w:r>
              <w:rPr>
                <w:rFonts w:hint="eastAsia" w:ascii="仿宋_GB2312" w:eastAsia="仿宋_GB2312"/>
                <w:sz w:val="24"/>
              </w:rPr>
              <w:t>1</w:t>
            </w:r>
          </w:p>
        </w:tc>
        <w:tc>
          <w:tcPr>
            <w:tcW w:w="1339" w:type="dxa"/>
          </w:tcPr>
          <w:p>
            <w:pPr>
              <w:spacing w:line="280" w:lineRule="exact"/>
              <w:rPr>
                <w:rFonts w:ascii="仿宋_GB2312" w:eastAsia="仿宋_GB2312"/>
                <w:sz w:val="18"/>
                <w:szCs w:val="18"/>
              </w:rPr>
            </w:pPr>
            <w:r>
              <w:rPr>
                <w:rFonts w:hint="eastAsia" w:ascii="仿宋_GB2312" w:eastAsia="仿宋_GB2312"/>
                <w:sz w:val="18"/>
                <w:szCs w:val="18"/>
              </w:rPr>
              <w:t>对本委职责范围内的审批、核准和备案项目执行情况的监督检查</w:t>
            </w:r>
          </w:p>
        </w:tc>
        <w:tc>
          <w:tcPr>
            <w:tcW w:w="5103" w:type="dxa"/>
          </w:tcPr>
          <w:p>
            <w:pPr>
              <w:ind w:firstLine="360" w:firstLineChars="200"/>
              <w:rPr>
                <w:rFonts w:ascii="仿宋_GB2312" w:eastAsia="仿宋_GB2312" w:hAnsiTheme="minorEastAsia"/>
                <w:sz w:val="18"/>
                <w:szCs w:val="18"/>
              </w:rPr>
            </w:pPr>
            <w:r>
              <w:rPr>
                <w:rFonts w:hint="eastAsia" w:ascii="仿宋_GB2312" w:eastAsia="仿宋_GB2312"/>
                <w:sz w:val="18"/>
                <w:szCs w:val="18"/>
              </w:rPr>
              <w:t>1.《中共中央 国务院关于深化投融资体制改革的意见》</w:t>
            </w:r>
            <w:r>
              <w:rPr>
                <w:rFonts w:hint="eastAsia" w:ascii="仿宋_GB2312" w:eastAsia="仿宋_GB2312" w:hAnsiTheme="minorEastAsia"/>
                <w:sz w:val="18"/>
                <w:szCs w:val="18"/>
              </w:rPr>
              <w:t>（中发〔2016〕18号）三、（八）：加强政府投资事中事后监管。</w:t>
            </w:r>
          </w:p>
          <w:p>
            <w:pPr>
              <w:ind w:firstLine="360" w:firstLineChars="200"/>
              <w:rPr>
                <w:rFonts w:ascii="仿宋_GB2312" w:eastAsia="仿宋_GB2312" w:hAnsiTheme="minorEastAsia"/>
                <w:sz w:val="18"/>
                <w:szCs w:val="18"/>
              </w:rPr>
            </w:pPr>
            <w:r>
              <w:rPr>
                <w:rFonts w:hint="eastAsia" w:ascii="仿宋_GB2312" w:eastAsia="仿宋_GB2312"/>
                <w:sz w:val="18"/>
                <w:szCs w:val="18"/>
              </w:rPr>
              <w:t>2.</w:t>
            </w:r>
            <w:r>
              <w:rPr>
                <w:rFonts w:hint="eastAsia" w:ascii="仿宋_GB2312" w:eastAsia="仿宋_GB2312" w:hAnsiTheme="minorEastAsia"/>
                <w:sz w:val="18"/>
                <w:szCs w:val="18"/>
              </w:rPr>
              <w:t>《国务院关于投资体制改革的决定》（国发〔2004〕20号）五、（一）：建立和完善政府投资监管体系。</w:t>
            </w:r>
          </w:p>
          <w:p>
            <w:pPr>
              <w:ind w:firstLine="360" w:firstLineChars="200"/>
              <w:rPr>
                <w:rFonts w:ascii="仿宋_GB2312" w:eastAsia="仿宋_GB2312" w:hAnsiTheme="minorEastAsia"/>
                <w:sz w:val="18"/>
                <w:szCs w:val="18"/>
              </w:rPr>
            </w:pPr>
            <w:r>
              <w:rPr>
                <w:rFonts w:hint="eastAsia" w:ascii="仿宋_GB2312" w:eastAsia="仿宋_GB2312"/>
                <w:sz w:val="18"/>
                <w:szCs w:val="18"/>
              </w:rPr>
              <w:t>3.《中央预算内投资补助和贴息管理办法》（国家发展改革委令2016年第45号）第二十三条  各级发展改革部门应当会同有关部门，依据职责分工，利用在线平台，对使用投资补助和贴息资金的项目加强监管，防止转移、侵占或者挪用投资补助和贴息资金，保证政府投资资金的合理使用和项目顺利建设实施。</w:t>
            </w:r>
          </w:p>
          <w:p>
            <w:pPr>
              <w:ind w:firstLine="360" w:firstLineChars="200"/>
              <w:rPr>
                <w:rFonts w:ascii="仿宋_GB2312" w:eastAsia="仿宋_GB2312"/>
                <w:sz w:val="18"/>
                <w:szCs w:val="18"/>
                <w:shd w:val="clear" w:color="auto" w:fill="FFFFFF"/>
              </w:rPr>
            </w:pPr>
            <w:r>
              <w:rPr>
                <w:rFonts w:hint="eastAsia" w:ascii="仿宋_GB2312" w:eastAsia="仿宋_GB2312"/>
                <w:sz w:val="18"/>
                <w:szCs w:val="18"/>
              </w:rPr>
              <w:t>4.《企业投资项目核准和备案管理条例》（国务院令第673号）</w:t>
            </w:r>
            <w:r>
              <w:rPr>
                <w:rFonts w:hint="eastAsia" w:ascii="仿宋_GB2312" w:eastAsia="仿宋_GB2312"/>
                <w:bCs/>
                <w:sz w:val="18"/>
                <w:szCs w:val="18"/>
                <w:shd w:val="clear" w:color="auto" w:fill="FFFFFF"/>
              </w:rPr>
              <w:t xml:space="preserve">第十六条  </w:t>
            </w:r>
            <w:r>
              <w:rPr>
                <w:rFonts w:hint="eastAsia" w:ascii="仿宋_GB2312" w:eastAsia="仿宋_GB2312"/>
                <w:sz w:val="18"/>
                <w:szCs w:val="18"/>
                <w:shd w:val="clear" w:color="auto" w:fill="FFFFFF"/>
              </w:rPr>
              <w:t>核准机关、备案机关以及依法对项目负有监督管理职责的其他有关部门应当加强事中事后监管，按照谁审批谁监管、谁主管谁监管的原则，落实监管责任，采取在线监测、现场核查等方式，加强对项目实施的监督检查。</w:t>
            </w:r>
          </w:p>
          <w:p>
            <w:pPr>
              <w:ind w:firstLine="360" w:firstLineChars="200"/>
              <w:rPr>
                <w:rFonts w:ascii="仿宋_GB2312" w:eastAsia="仿宋_GB2312"/>
                <w:sz w:val="18"/>
                <w:szCs w:val="18"/>
              </w:rPr>
            </w:pPr>
            <w:r>
              <w:rPr>
                <w:rFonts w:hint="eastAsia" w:ascii="仿宋_GB2312" w:eastAsia="仿宋_GB2312"/>
                <w:sz w:val="18"/>
                <w:szCs w:val="18"/>
              </w:rPr>
              <w:t>5.《企业投资项目核准和备案管理办法》（2017年国家发展改革委令第2号）第四十六条第一款  项目核准和备案机关、行业管理、城乡规划(建设)、国家安全、国土(海洋)资源、环境保护、节能审查、金融监管、安全生产监管、审计等部门，应当按照谁审批谁监管、谁主管谁监管的原则，采取在线监测、现场核查等方式，依法加强对项目的事中事后监管。</w:t>
            </w:r>
          </w:p>
          <w:p>
            <w:pPr>
              <w:ind w:firstLine="360" w:firstLineChars="200"/>
              <w:rPr>
                <w:rFonts w:hint="eastAsia" w:ascii="仿宋_GB2312" w:hAnsi="Arial" w:eastAsia="仿宋_GB2312" w:cs="Arial"/>
                <w:kern w:val="0"/>
                <w:sz w:val="18"/>
                <w:szCs w:val="18"/>
              </w:rPr>
            </w:pPr>
            <w:r>
              <w:rPr>
                <w:rFonts w:hint="eastAsia" w:ascii="仿宋_GB2312" w:eastAsia="仿宋_GB2312"/>
                <w:sz w:val="18"/>
                <w:szCs w:val="18"/>
              </w:rPr>
              <w:t>6.《企业投资项目事中事后监管办法》（国家发展改革委令2018年第14号）</w:t>
            </w:r>
            <w:r>
              <w:rPr>
                <w:rFonts w:hint="eastAsia" w:ascii="仿宋_GB2312" w:hAnsi="Arial" w:eastAsia="仿宋_GB2312" w:cs="Arial"/>
                <w:kern w:val="0"/>
                <w:sz w:val="18"/>
                <w:szCs w:val="18"/>
              </w:rPr>
              <w:t>第三条  项目事中事后监管是指各级发展改革部门对项目开工前是否依法取得核准批复文件或者办理备案手续，并在开工后是否按照核准批复文件或者备案内容进行建设的监督管理。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b w:val="0"/>
                <w:bCs w:val="0"/>
                <w:kern w:val="0"/>
                <w:sz w:val="18"/>
                <w:szCs w:val="18"/>
                <w:lang w:val="en-US" w:eastAsia="zh-CN"/>
              </w:rPr>
              <w:t xml:space="preserve">    7.《政 府 投 资 条 例》（中华人民共和国国务院令第712号）第二十七条 投资主管部门和依法对政府投资项目负有监督管理职责的其他部门应当采取在线监测、现场核查等方式，加强对政府投资项目实施情况的监督检查。</w:t>
            </w:r>
          </w:p>
          <w:p>
            <w:pPr>
              <w:rPr>
                <w:rFonts w:ascii="仿宋_GB2312" w:eastAsia="仿宋_GB2312"/>
                <w:sz w:val="18"/>
                <w:szCs w:val="18"/>
              </w:rPr>
            </w:pPr>
          </w:p>
        </w:tc>
        <w:tc>
          <w:tcPr>
            <w:tcW w:w="1559" w:type="dxa"/>
          </w:tcPr>
          <w:p>
            <w:pPr>
              <w:spacing w:line="280" w:lineRule="exact"/>
              <w:rPr>
                <w:rFonts w:ascii="仿宋_GB2312" w:eastAsia="仿宋_GB2312"/>
                <w:sz w:val="18"/>
                <w:szCs w:val="18"/>
              </w:rPr>
            </w:pPr>
            <w:r>
              <w:rPr>
                <w:rFonts w:hint="eastAsia" w:ascii="仿宋_GB2312" w:eastAsia="仿宋_GB2312"/>
                <w:sz w:val="18"/>
                <w:szCs w:val="18"/>
              </w:rPr>
              <w:t>本委职责范围内审批、核准和备案项目执行情况</w:t>
            </w:r>
          </w:p>
        </w:tc>
        <w:tc>
          <w:tcPr>
            <w:tcW w:w="1560" w:type="dxa"/>
          </w:tcPr>
          <w:p>
            <w:pPr>
              <w:spacing w:line="280" w:lineRule="exact"/>
              <w:rPr>
                <w:rFonts w:ascii="仿宋_GB2312" w:eastAsia="仿宋_GB2312"/>
                <w:sz w:val="18"/>
                <w:szCs w:val="18"/>
              </w:rPr>
            </w:pPr>
            <w:r>
              <w:rPr>
                <w:rFonts w:hint="eastAsia" w:ascii="仿宋_GB2312" w:hAnsi="仿宋_GB2312" w:eastAsia="仿宋_GB2312" w:cs="仿宋_GB2312"/>
                <w:sz w:val="18"/>
                <w:szCs w:val="18"/>
              </w:rPr>
              <w:t>行政审批</w:t>
            </w:r>
            <w:r>
              <w:rPr>
                <w:rFonts w:hint="eastAsia" w:ascii="仿宋_GB2312" w:hAnsi="仿宋_GB2312" w:eastAsia="仿宋_GB2312" w:cs="仿宋_GB2312"/>
                <w:sz w:val="18"/>
                <w:szCs w:val="18"/>
                <w:lang w:eastAsia="zh-CN"/>
              </w:rPr>
              <w:t>与政策法规</w:t>
            </w:r>
            <w:r>
              <w:rPr>
                <w:rFonts w:hint="eastAsia" w:ascii="仿宋_GB2312" w:hAnsi="仿宋_GB2312" w:eastAsia="仿宋_GB2312" w:cs="仿宋_GB2312"/>
                <w:sz w:val="18"/>
                <w:szCs w:val="18"/>
              </w:rPr>
              <w:t>处</w:t>
            </w:r>
            <w:r>
              <w:rPr>
                <w:rFonts w:hint="eastAsia" w:ascii="仿宋_GB2312" w:hAnsi="仿宋_GB2312" w:eastAsia="仿宋_GB2312" w:cs="仿宋_GB2312"/>
                <w:sz w:val="18"/>
                <w:szCs w:val="18"/>
                <w:lang w:eastAsia="zh-CN"/>
              </w:rPr>
              <w:t>和评估监管处</w:t>
            </w:r>
            <w:r>
              <w:rPr>
                <w:rFonts w:hint="eastAsia" w:ascii="仿宋_GB2312" w:hAnsi="仿宋_GB2312" w:eastAsia="仿宋_GB2312" w:cs="仿宋_GB2312"/>
                <w:sz w:val="18"/>
                <w:szCs w:val="18"/>
              </w:rPr>
              <w:t>会同有关业务处室</w:t>
            </w:r>
          </w:p>
        </w:tc>
        <w:tc>
          <w:tcPr>
            <w:tcW w:w="1134" w:type="dxa"/>
          </w:tcPr>
          <w:p>
            <w:pPr>
              <w:spacing w:line="280" w:lineRule="exact"/>
              <w:rPr>
                <w:rFonts w:ascii="仿宋_GB2312" w:eastAsia="仿宋_GB2312"/>
                <w:sz w:val="18"/>
                <w:szCs w:val="18"/>
              </w:rPr>
            </w:pPr>
            <w:r>
              <w:rPr>
                <w:rFonts w:hint="eastAsia" w:ascii="仿宋_GB2312" w:eastAsia="仿宋_GB2312"/>
                <w:sz w:val="18"/>
                <w:szCs w:val="18"/>
              </w:rPr>
              <w:t>市级审批、核准和备案项目</w:t>
            </w:r>
          </w:p>
        </w:tc>
        <w:tc>
          <w:tcPr>
            <w:tcW w:w="850" w:type="dxa"/>
          </w:tcPr>
          <w:p>
            <w:pPr>
              <w:spacing w:line="280" w:lineRule="exact"/>
              <w:rPr>
                <w:rFonts w:hint="eastAsia" w:ascii="仿宋_GB2312" w:eastAsia="仿宋_GB2312"/>
                <w:sz w:val="18"/>
                <w:szCs w:val="18"/>
                <w:lang w:eastAsia="zh-CN"/>
              </w:rPr>
            </w:pPr>
            <w:r>
              <w:rPr>
                <w:rFonts w:hint="eastAsia" w:ascii="仿宋_GB2312" w:hAnsi="仿宋_GB2312" w:eastAsia="仿宋_GB2312" w:cs="仿宋_GB2312"/>
                <w:sz w:val="18"/>
                <w:szCs w:val="18"/>
              </w:rPr>
              <w:t>比例抽查</w:t>
            </w:r>
            <w:r>
              <w:rPr>
                <w:rFonts w:hint="eastAsia" w:ascii="仿宋_GB2312" w:hAnsi="仿宋_GB2312" w:eastAsia="仿宋_GB2312" w:cs="仿宋_GB2312"/>
                <w:sz w:val="18"/>
                <w:szCs w:val="18"/>
                <w:lang w:eastAsia="zh-CN"/>
              </w:rPr>
              <w:t>，随机抽取</w:t>
            </w:r>
          </w:p>
        </w:tc>
        <w:tc>
          <w:tcPr>
            <w:tcW w:w="850" w:type="dxa"/>
          </w:tcPr>
          <w:p>
            <w:pPr>
              <w:spacing w:line="280" w:lineRule="exact"/>
              <w:rPr>
                <w:rFonts w:ascii="仿宋_GB2312" w:eastAsia="仿宋_GB2312"/>
                <w:sz w:val="18"/>
                <w:szCs w:val="18"/>
              </w:rPr>
            </w:pPr>
            <w:r>
              <w:rPr>
                <w:rFonts w:hint="eastAsia" w:ascii="仿宋_GB2312" w:eastAsia="仿宋_GB2312"/>
                <w:sz w:val="18"/>
                <w:szCs w:val="18"/>
              </w:rPr>
              <w:t>不低于检查对象（项</w:t>
            </w:r>
            <w:r>
              <w:rPr>
                <w:rFonts w:hint="eastAsia" w:ascii="仿宋_GB2312" w:eastAsia="仿宋_GB2312"/>
                <w:sz w:val="18"/>
                <w:szCs w:val="18"/>
                <w:lang w:eastAsia="zh-CN"/>
              </w:rPr>
              <w:t>目</w:t>
            </w:r>
            <w:r>
              <w:rPr>
                <w:rFonts w:hint="eastAsia" w:ascii="仿宋_GB2312" w:eastAsia="仿宋_GB2312"/>
                <w:sz w:val="18"/>
                <w:szCs w:val="18"/>
              </w:rPr>
              <w:t>）的3%</w:t>
            </w:r>
          </w:p>
        </w:tc>
        <w:tc>
          <w:tcPr>
            <w:tcW w:w="812" w:type="dxa"/>
          </w:tcPr>
          <w:p>
            <w:pPr>
              <w:spacing w:line="280" w:lineRule="exact"/>
              <w:rPr>
                <w:rFonts w:ascii="仿宋_GB2312" w:eastAsia="仿宋_GB2312"/>
                <w:sz w:val="18"/>
                <w:szCs w:val="18"/>
              </w:rPr>
            </w:pPr>
            <w:r>
              <w:rPr>
                <w:rFonts w:hint="eastAsia" w:ascii="仿宋_GB2312" w:eastAsia="仿宋_GB2312"/>
                <w:sz w:val="18"/>
                <w:szCs w:val="18"/>
              </w:rPr>
              <w:t>1-2次/年</w:t>
            </w:r>
          </w:p>
        </w:tc>
        <w:tc>
          <w:tcPr>
            <w:tcW w:w="1237" w:type="dxa"/>
          </w:tcPr>
          <w:p>
            <w:pPr>
              <w:spacing w:line="280" w:lineRule="exact"/>
              <w:rPr>
                <w:rFonts w:ascii="仿宋_GB2312" w:eastAsia="仿宋_GB2312"/>
                <w:sz w:val="24"/>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decorative"/>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方正小标宋简体">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80CA7"/>
    <w:rsid w:val="0B753F83"/>
    <w:rsid w:val="0C712566"/>
    <w:rsid w:val="0D880CA7"/>
    <w:rsid w:val="1D1C5367"/>
    <w:rsid w:val="243956CD"/>
    <w:rsid w:val="3F4E334F"/>
    <w:rsid w:val="7A5F55A6"/>
    <w:rsid w:val="7EBD22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样式1"/>
    <w:basedOn w:val="1"/>
    <w:qFormat/>
    <w:uiPriority w:val="0"/>
    <w:rPr>
      <w:rFonts w:eastAsia="楷体_GB2312" w:asciiTheme="minorAscii" w:hAnsiTheme="minorAsci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2020-03-11T03:02:00Z</dcterms:created>
  <dc:creator>cs</dc:creator>
  <cp:lastModifiedBy>cs</cp:lastModifiedBy>
  <dcterms:modified xsi:type="dcterms:W3CDTF">2020-03-19T07:47:31Z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