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CF" w:rsidRDefault="003F3FAF">
      <w:pPr>
        <w:spacing w:line="580" w:lineRule="exact"/>
        <w:ind w:firstLineChars="1250" w:firstLine="5000"/>
        <w:rPr>
          <w:rFonts w:ascii="方正小标宋简体" w:eastAsia="方正小标宋简体"/>
          <w:sz w:val="40"/>
          <w:szCs w:val="40"/>
        </w:rPr>
      </w:pPr>
      <w:r>
        <w:rPr>
          <w:rFonts w:ascii="方正小标宋简体" w:eastAsia="方正小标宋简体" w:hint="eastAsia"/>
          <w:sz w:val="40"/>
          <w:szCs w:val="40"/>
        </w:rPr>
        <w:t>市直单位随机抽查事项清单</w:t>
      </w:r>
    </w:p>
    <w:p w:rsidR="003F3FAF" w:rsidRPr="003F3FAF" w:rsidRDefault="003F3FAF" w:rsidP="003F3FAF">
      <w:pPr>
        <w:spacing w:line="580" w:lineRule="exact"/>
        <w:ind w:firstLineChars="1600" w:firstLine="6400"/>
        <w:rPr>
          <w:rFonts w:ascii="方正小标宋简体" w:eastAsia="方正小标宋简体"/>
          <w:sz w:val="40"/>
          <w:szCs w:val="40"/>
        </w:rPr>
      </w:pPr>
      <w:r>
        <w:rPr>
          <w:rFonts w:ascii="方正小标宋简体" w:eastAsia="方正小标宋简体" w:hint="eastAsia"/>
          <w:sz w:val="40"/>
          <w:szCs w:val="40"/>
        </w:rPr>
        <w:t>（2018年）</w:t>
      </w:r>
    </w:p>
    <w:p w:rsidR="001F0ECF" w:rsidRDefault="003F3FAF">
      <w:pPr>
        <w:spacing w:line="580" w:lineRule="exact"/>
        <w:jc w:val="left"/>
        <w:rPr>
          <w:rFonts w:ascii="仿宋_GB2312" w:eastAsia="仿宋_GB2312"/>
          <w:sz w:val="32"/>
          <w:szCs w:val="32"/>
        </w:rPr>
      </w:pPr>
      <w:r>
        <w:rPr>
          <w:rFonts w:ascii="仿宋_GB2312" w:eastAsia="仿宋_GB2312" w:hint="eastAsia"/>
          <w:sz w:val="32"/>
          <w:szCs w:val="32"/>
        </w:rPr>
        <w:t xml:space="preserve">单位名称:福州市发展和改革委员会            </w:t>
      </w:r>
    </w:p>
    <w:tbl>
      <w:tblPr>
        <w:tblW w:w="14238" w:type="dxa"/>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339"/>
        <w:gridCol w:w="5103"/>
        <w:gridCol w:w="1559"/>
        <w:gridCol w:w="1560"/>
        <w:gridCol w:w="1134"/>
        <w:gridCol w:w="850"/>
        <w:gridCol w:w="812"/>
        <w:gridCol w:w="1237"/>
      </w:tblGrid>
      <w:tr w:rsidR="001F0ECF">
        <w:trPr>
          <w:trHeight w:val="1199"/>
          <w:jc w:val="center"/>
        </w:trPr>
        <w:tc>
          <w:tcPr>
            <w:tcW w:w="644"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序号</w:t>
            </w:r>
          </w:p>
        </w:tc>
        <w:tc>
          <w:tcPr>
            <w:tcW w:w="1339"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抽查事项</w:t>
            </w:r>
          </w:p>
          <w:p w:rsidR="001F0ECF" w:rsidRDefault="003F3FAF">
            <w:pPr>
              <w:spacing w:line="280" w:lineRule="exact"/>
              <w:jc w:val="center"/>
              <w:rPr>
                <w:rFonts w:ascii="黑体" w:eastAsia="黑体"/>
                <w:sz w:val="28"/>
                <w:szCs w:val="28"/>
              </w:rPr>
            </w:pPr>
            <w:r>
              <w:rPr>
                <w:rFonts w:ascii="黑体" w:eastAsia="黑体" w:hint="eastAsia"/>
                <w:sz w:val="28"/>
                <w:szCs w:val="28"/>
              </w:rPr>
              <w:t>名称</w:t>
            </w:r>
          </w:p>
        </w:tc>
        <w:tc>
          <w:tcPr>
            <w:tcW w:w="5103"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抽查依据</w:t>
            </w:r>
          </w:p>
        </w:tc>
        <w:tc>
          <w:tcPr>
            <w:tcW w:w="1559"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抽查内容</w:t>
            </w:r>
          </w:p>
        </w:tc>
        <w:tc>
          <w:tcPr>
            <w:tcW w:w="1560"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抽查主体</w:t>
            </w:r>
          </w:p>
        </w:tc>
        <w:tc>
          <w:tcPr>
            <w:tcW w:w="1134"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市场主体数量</w:t>
            </w:r>
          </w:p>
        </w:tc>
        <w:tc>
          <w:tcPr>
            <w:tcW w:w="850"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抽查比例</w:t>
            </w:r>
          </w:p>
        </w:tc>
        <w:tc>
          <w:tcPr>
            <w:tcW w:w="812"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抽查频次</w:t>
            </w:r>
          </w:p>
        </w:tc>
        <w:tc>
          <w:tcPr>
            <w:tcW w:w="1237" w:type="dxa"/>
            <w:vAlign w:val="center"/>
          </w:tcPr>
          <w:p w:rsidR="001F0ECF" w:rsidRDefault="003F3FAF">
            <w:pPr>
              <w:spacing w:line="280" w:lineRule="exact"/>
              <w:jc w:val="center"/>
              <w:rPr>
                <w:rFonts w:ascii="黑体" w:eastAsia="黑体"/>
                <w:sz w:val="28"/>
                <w:szCs w:val="28"/>
              </w:rPr>
            </w:pPr>
            <w:r>
              <w:rPr>
                <w:rFonts w:ascii="黑体" w:eastAsia="黑体" w:hint="eastAsia"/>
                <w:sz w:val="28"/>
                <w:szCs w:val="28"/>
              </w:rPr>
              <w:t>备注</w:t>
            </w:r>
          </w:p>
        </w:tc>
      </w:tr>
      <w:tr w:rsidR="001F0ECF">
        <w:trPr>
          <w:trHeight w:val="497"/>
          <w:jc w:val="center"/>
        </w:trPr>
        <w:tc>
          <w:tcPr>
            <w:tcW w:w="644" w:type="dxa"/>
            <w:vAlign w:val="center"/>
          </w:tcPr>
          <w:p w:rsidR="001F0ECF" w:rsidRDefault="003F3FAF">
            <w:pPr>
              <w:spacing w:line="280" w:lineRule="exact"/>
              <w:jc w:val="center"/>
              <w:rPr>
                <w:rFonts w:ascii="仿宋_GB2312" w:eastAsia="仿宋_GB2312"/>
                <w:sz w:val="24"/>
              </w:rPr>
            </w:pPr>
            <w:r>
              <w:rPr>
                <w:rFonts w:ascii="仿宋_GB2312" w:eastAsia="仿宋_GB2312" w:hint="eastAsia"/>
                <w:sz w:val="24"/>
              </w:rPr>
              <w:t>1</w:t>
            </w:r>
          </w:p>
        </w:tc>
        <w:tc>
          <w:tcPr>
            <w:tcW w:w="1339"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对本委职责范围内的审批、核准和备案项目执行情况的监督检查</w:t>
            </w:r>
          </w:p>
        </w:tc>
        <w:tc>
          <w:tcPr>
            <w:tcW w:w="5103" w:type="dxa"/>
          </w:tcPr>
          <w:p w:rsidR="001F0ECF" w:rsidRDefault="003F3FAF">
            <w:pPr>
              <w:ind w:firstLineChars="200" w:firstLine="360"/>
              <w:rPr>
                <w:rFonts w:ascii="仿宋_GB2312" w:eastAsia="仿宋_GB2312" w:hAnsiTheme="minorEastAsia"/>
                <w:sz w:val="18"/>
                <w:szCs w:val="18"/>
              </w:rPr>
            </w:pPr>
            <w:r>
              <w:rPr>
                <w:rFonts w:ascii="仿宋_GB2312" w:eastAsia="仿宋_GB2312" w:hint="eastAsia"/>
                <w:sz w:val="18"/>
                <w:szCs w:val="18"/>
              </w:rPr>
              <w:t>1.《中共中央 国务院关于深化投融资体制改革的意见》</w:t>
            </w:r>
            <w:r>
              <w:rPr>
                <w:rFonts w:ascii="仿宋_GB2312" w:eastAsia="仿宋_GB2312" w:hAnsiTheme="minorEastAsia" w:hint="eastAsia"/>
                <w:sz w:val="18"/>
                <w:szCs w:val="18"/>
              </w:rPr>
              <w:t>（中发〔2016〕18号）三、（八）：加强政府投资事中事后监管。</w:t>
            </w:r>
          </w:p>
          <w:p w:rsidR="001F0ECF" w:rsidRDefault="003F3FAF">
            <w:pPr>
              <w:ind w:firstLineChars="200" w:firstLine="360"/>
              <w:rPr>
                <w:rFonts w:ascii="仿宋_GB2312" w:eastAsia="仿宋_GB2312" w:hAnsiTheme="minorEastAsia"/>
                <w:sz w:val="18"/>
                <w:szCs w:val="18"/>
              </w:rPr>
            </w:pPr>
            <w:r>
              <w:rPr>
                <w:rFonts w:ascii="仿宋_GB2312" w:eastAsia="仿宋_GB2312" w:hint="eastAsia"/>
                <w:sz w:val="18"/>
                <w:szCs w:val="18"/>
              </w:rPr>
              <w:t>2.</w:t>
            </w:r>
            <w:r>
              <w:rPr>
                <w:rFonts w:ascii="仿宋_GB2312" w:eastAsia="仿宋_GB2312" w:hAnsiTheme="minorEastAsia" w:hint="eastAsia"/>
                <w:sz w:val="18"/>
                <w:szCs w:val="18"/>
              </w:rPr>
              <w:t>《国务院关于投资体制改革的决定》（国发〔2004〕20号）五、（一）：建立和完善政府投资监管体系。</w:t>
            </w:r>
          </w:p>
          <w:p w:rsidR="001F0ECF" w:rsidRDefault="003F3FAF">
            <w:pPr>
              <w:ind w:firstLineChars="200" w:firstLine="360"/>
              <w:rPr>
                <w:rFonts w:ascii="仿宋_GB2312" w:eastAsia="仿宋_GB2312" w:hAnsiTheme="minorEastAsia"/>
                <w:sz w:val="18"/>
                <w:szCs w:val="18"/>
              </w:rPr>
            </w:pPr>
            <w:r>
              <w:rPr>
                <w:rFonts w:ascii="仿宋_GB2312" w:eastAsia="仿宋_GB2312" w:hint="eastAsia"/>
                <w:sz w:val="18"/>
                <w:szCs w:val="18"/>
              </w:rPr>
              <w:t>3.《中央预算内投资补助和贴息管理办法》（国家发展改革委令2016年第45号）第二十三条  各级发展改革部门应当会同有关部门，依据职责分工，利用在线平台，对使用投资补助和贴息资金的项目加强监管，防止转移、侵占或者挪用投资补助和贴息资金，保证政府投资资金的合理使用和项目顺利建设实施。</w:t>
            </w:r>
          </w:p>
          <w:p w:rsidR="001F0ECF" w:rsidRDefault="003F3FAF">
            <w:pPr>
              <w:ind w:firstLineChars="200" w:firstLine="360"/>
              <w:rPr>
                <w:rFonts w:ascii="仿宋_GB2312" w:eastAsia="仿宋_GB2312"/>
                <w:sz w:val="18"/>
                <w:szCs w:val="18"/>
                <w:shd w:val="clear" w:color="auto" w:fill="FFFFFF"/>
              </w:rPr>
            </w:pPr>
            <w:r>
              <w:rPr>
                <w:rFonts w:ascii="仿宋_GB2312" w:eastAsia="仿宋_GB2312" w:hint="eastAsia"/>
                <w:sz w:val="18"/>
                <w:szCs w:val="18"/>
              </w:rPr>
              <w:t>4.《企业投资项目核准和备案管理条例》（国务院令第673号）</w:t>
            </w:r>
            <w:r>
              <w:rPr>
                <w:rFonts w:ascii="仿宋_GB2312" w:eastAsia="仿宋_GB2312" w:hint="eastAsia"/>
                <w:bCs/>
                <w:sz w:val="18"/>
                <w:szCs w:val="18"/>
                <w:shd w:val="clear" w:color="auto" w:fill="FFFFFF"/>
              </w:rPr>
              <w:t xml:space="preserve">第十六条  </w:t>
            </w:r>
            <w:r>
              <w:rPr>
                <w:rFonts w:ascii="仿宋_GB2312" w:eastAsia="仿宋_GB2312" w:hint="eastAsia"/>
                <w:sz w:val="18"/>
                <w:szCs w:val="18"/>
                <w:shd w:val="clear" w:color="auto" w:fill="FFFFFF"/>
              </w:rPr>
              <w:t>核准机关、备案机关以及依法对项目负有监督管理职责的其他有关部门应当加强事中事后监管，按照谁</w:t>
            </w:r>
            <w:proofErr w:type="gramStart"/>
            <w:r>
              <w:rPr>
                <w:rFonts w:ascii="仿宋_GB2312" w:eastAsia="仿宋_GB2312" w:hint="eastAsia"/>
                <w:sz w:val="18"/>
                <w:szCs w:val="18"/>
                <w:shd w:val="clear" w:color="auto" w:fill="FFFFFF"/>
              </w:rPr>
              <w:t>审批谁监管</w:t>
            </w:r>
            <w:proofErr w:type="gramEnd"/>
            <w:r>
              <w:rPr>
                <w:rFonts w:ascii="仿宋_GB2312" w:eastAsia="仿宋_GB2312" w:hint="eastAsia"/>
                <w:sz w:val="18"/>
                <w:szCs w:val="18"/>
                <w:shd w:val="clear" w:color="auto" w:fill="FFFFFF"/>
              </w:rPr>
              <w:t>、谁主管谁监管的原则，落实监管责任，采取在线监测、现场核查等方式，加强对项目实施的监督检查。</w:t>
            </w:r>
          </w:p>
          <w:p w:rsidR="001F0ECF" w:rsidRDefault="003F3FAF">
            <w:pPr>
              <w:ind w:firstLineChars="200" w:firstLine="360"/>
              <w:rPr>
                <w:rFonts w:ascii="仿宋_GB2312" w:eastAsia="仿宋_GB2312"/>
                <w:sz w:val="18"/>
                <w:szCs w:val="18"/>
              </w:rPr>
            </w:pPr>
            <w:r>
              <w:rPr>
                <w:rFonts w:ascii="仿宋_GB2312" w:eastAsia="仿宋_GB2312" w:hint="eastAsia"/>
                <w:sz w:val="18"/>
                <w:szCs w:val="18"/>
              </w:rPr>
              <w:t>5.《企业投资项目核准和备案管理办法》（2017年国家发展改革委令第2号）第四十六条第一款  项目核准和备案机关、</w:t>
            </w:r>
            <w:r>
              <w:rPr>
                <w:rFonts w:ascii="仿宋_GB2312" w:eastAsia="仿宋_GB2312" w:hint="eastAsia"/>
                <w:sz w:val="18"/>
                <w:szCs w:val="18"/>
              </w:rPr>
              <w:lastRenderedPageBreak/>
              <w:t>行业管理、城乡规划(建设)、国家安全、国土(海洋)资源、环境保护、节能审查、金融监管、安全生产监管、审计等部门，应当按照谁</w:t>
            </w:r>
            <w:proofErr w:type="gramStart"/>
            <w:r>
              <w:rPr>
                <w:rFonts w:ascii="仿宋_GB2312" w:eastAsia="仿宋_GB2312" w:hint="eastAsia"/>
                <w:sz w:val="18"/>
                <w:szCs w:val="18"/>
              </w:rPr>
              <w:t>审批谁监管</w:t>
            </w:r>
            <w:proofErr w:type="gramEnd"/>
            <w:r>
              <w:rPr>
                <w:rFonts w:ascii="仿宋_GB2312" w:eastAsia="仿宋_GB2312" w:hint="eastAsia"/>
                <w:sz w:val="18"/>
                <w:szCs w:val="18"/>
              </w:rPr>
              <w:t>、谁主管谁监管的原则，采取在线监测、现场核查等方式，依法加强对项目的事中事后监管。</w:t>
            </w:r>
          </w:p>
          <w:p w:rsidR="001F0ECF" w:rsidRDefault="003F3FAF">
            <w:pPr>
              <w:ind w:firstLineChars="200" w:firstLine="360"/>
              <w:rPr>
                <w:rFonts w:ascii="仿宋_GB2312" w:eastAsia="仿宋_GB2312" w:hAnsi="Arial" w:cs="Arial"/>
                <w:kern w:val="0"/>
                <w:sz w:val="18"/>
                <w:szCs w:val="18"/>
              </w:rPr>
            </w:pPr>
            <w:r>
              <w:rPr>
                <w:rFonts w:ascii="仿宋_GB2312" w:eastAsia="仿宋_GB2312" w:hint="eastAsia"/>
                <w:sz w:val="18"/>
                <w:szCs w:val="18"/>
              </w:rPr>
              <w:t>6.《企业投资项目事中事后监管办法》（国家发展改革委令2018年第14号）</w:t>
            </w:r>
            <w:r>
              <w:rPr>
                <w:rFonts w:ascii="仿宋_GB2312" w:eastAsia="仿宋_GB2312" w:hAnsi="Arial" w:cs="Arial" w:hint="eastAsia"/>
                <w:kern w:val="0"/>
                <w:sz w:val="18"/>
                <w:szCs w:val="18"/>
              </w:rPr>
              <w:t>第三条  项目事中事后监管是指各级发展改革部门对项目开工前是否依法取得核准批复文件或者办理备案手续，并在开工后是否按照核准批复文件或者备案内容进行建设的监督管理。</w:t>
            </w:r>
          </w:p>
          <w:p w:rsidR="001F0ECF" w:rsidRDefault="001F0ECF">
            <w:pPr>
              <w:rPr>
                <w:rFonts w:ascii="仿宋_GB2312" w:eastAsia="仿宋_GB2312"/>
                <w:sz w:val="18"/>
                <w:szCs w:val="18"/>
              </w:rPr>
            </w:pPr>
          </w:p>
        </w:tc>
        <w:tc>
          <w:tcPr>
            <w:tcW w:w="1559"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lastRenderedPageBreak/>
              <w:t>本委职责范围内审批、核准和备案项目执行情况</w:t>
            </w:r>
          </w:p>
        </w:tc>
        <w:tc>
          <w:tcPr>
            <w:tcW w:w="156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行政审批处（政策法规处）会同有关业务处室</w:t>
            </w:r>
          </w:p>
        </w:tc>
        <w:tc>
          <w:tcPr>
            <w:tcW w:w="1134"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年度市级审批、核准和备案项目数量</w:t>
            </w:r>
          </w:p>
        </w:tc>
        <w:tc>
          <w:tcPr>
            <w:tcW w:w="85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原则上不低于检查对象（项止）的3%</w:t>
            </w:r>
          </w:p>
        </w:tc>
        <w:tc>
          <w:tcPr>
            <w:tcW w:w="812"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1-2次/年</w:t>
            </w:r>
          </w:p>
        </w:tc>
        <w:tc>
          <w:tcPr>
            <w:tcW w:w="1237" w:type="dxa"/>
          </w:tcPr>
          <w:p w:rsidR="001F0ECF" w:rsidRDefault="001F0ECF">
            <w:pPr>
              <w:spacing w:line="280" w:lineRule="exact"/>
              <w:rPr>
                <w:rFonts w:ascii="仿宋_GB2312" w:eastAsia="仿宋_GB2312"/>
                <w:sz w:val="24"/>
              </w:rPr>
            </w:pPr>
          </w:p>
        </w:tc>
      </w:tr>
      <w:tr w:rsidR="001F0ECF">
        <w:trPr>
          <w:trHeight w:val="497"/>
          <w:jc w:val="center"/>
        </w:trPr>
        <w:tc>
          <w:tcPr>
            <w:tcW w:w="644" w:type="dxa"/>
            <w:vAlign w:val="center"/>
          </w:tcPr>
          <w:p w:rsidR="001F0ECF" w:rsidRDefault="003F3FAF">
            <w:pPr>
              <w:spacing w:line="280" w:lineRule="exact"/>
              <w:jc w:val="center"/>
              <w:rPr>
                <w:rFonts w:ascii="仿宋_GB2312" w:eastAsia="仿宋_GB2312"/>
                <w:sz w:val="24"/>
              </w:rPr>
            </w:pPr>
            <w:r>
              <w:rPr>
                <w:rFonts w:ascii="仿宋_GB2312" w:eastAsia="仿宋_GB2312" w:hint="eastAsia"/>
                <w:sz w:val="24"/>
              </w:rPr>
              <w:lastRenderedPageBreak/>
              <w:t>2</w:t>
            </w:r>
          </w:p>
        </w:tc>
        <w:tc>
          <w:tcPr>
            <w:tcW w:w="1339"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对市重点项 目的监督检查</w:t>
            </w:r>
          </w:p>
        </w:tc>
        <w:tc>
          <w:tcPr>
            <w:tcW w:w="5103" w:type="dxa"/>
          </w:tcPr>
          <w:p w:rsidR="001F0ECF" w:rsidRDefault="001F0ECF">
            <w:pPr>
              <w:spacing w:line="280" w:lineRule="exact"/>
              <w:ind w:firstLine="360"/>
              <w:rPr>
                <w:rFonts w:ascii="仿宋_GB2312" w:eastAsia="仿宋_GB2312"/>
                <w:sz w:val="18"/>
                <w:szCs w:val="18"/>
              </w:rPr>
            </w:pPr>
          </w:p>
          <w:p w:rsidR="001F0ECF" w:rsidRDefault="003F3FAF">
            <w:pPr>
              <w:ind w:firstLineChars="200" w:firstLine="360"/>
              <w:rPr>
                <w:rFonts w:ascii="仿宋_GB2312" w:eastAsia="仿宋_GB2312"/>
                <w:sz w:val="18"/>
                <w:szCs w:val="18"/>
              </w:rPr>
            </w:pPr>
            <w:r>
              <w:rPr>
                <w:rFonts w:ascii="仿宋_GB2312" w:eastAsia="仿宋_GB2312" w:hint="eastAsia"/>
                <w:sz w:val="18"/>
                <w:szCs w:val="18"/>
              </w:rPr>
              <w:t>《福州市人民政府办公厅关于印发〈福州市发展和改革委员会主要职责、内设机构和人员编制规定〉的通知》（</w:t>
            </w:r>
            <w:proofErr w:type="gramStart"/>
            <w:r>
              <w:rPr>
                <w:rFonts w:ascii="仿宋_GB2312" w:eastAsia="仿宋_GB2312" w:hint="eastAsia"/>
                <w:sz w:val="18"/>
                <w:szCs w:val="18"/>
              </w:rPr>
              <w:t>榕</w:t>
            </w:r>
            <w:proofErr w:type="gramEnd"/>
            <w:r>
              <w:rPr>
                <w:rFonts w:ascii="仿宋_GB2312" w:eastAsia="仿宋_GB2312" w:hint="eastAsia"/>
                <w:sz w:val="18"/>
                <w:szCs w:val="18"/>
              </w:rPr>
              <w:t xml:space="preserve">政办〔2015〕54号）                                                        </w:t>
            </w:r>
          </w:p>
          <w:p w:rsidR="001F0ECF" w:rsidRDefault="003F3FAF">
            <w:pPr>
              <w:numPr>
                <w:ilvl w:val="0"/>
                <w:numId w:val="1"/>
              </w:numPr>
              <w:ind w:firstLineChars="200" w:firstLine="360"/>
              <w:rPr>
                <w:rFonts w:ascii="仿宋_GB2312" w:eastAsia="仿宋_GB2312" w:hAnsiTheme="minorEastAsia"/>
                <w:sz w:val="18"/>
                <w:szCs w:val="18"/>
              </w:rPr>
            </w:pPr>
            <w:r>
              <w:rPr>
                <w:rFonts w:ascii="仿宋_GB2312" w:eastAsia="仿宋_GB2312" w:hint="eastAsia"/>
                <w:sz w:val="18"/>
                <w:szCs w:val="18"/>
              </w:rPr>
              <w:t>主要职责（九）</w:t>
            </w:r>
            <w:r>
              <w:rPr>
                <w:rFonts w:ascii="仿宋_GB2312" w:eastAsia="仿宋_GB2312" w:hAnsiTheme="minorEastAsia" w:hint="eastAsia"/>
                <w:sz w:val="18"/>
                <w:szCs w:val="18"/>
              </w:rPr>
              <w:t>承担市重点项目建设办公室职责。</w:t>
            </w:r>
            <w:r>
              <w:rPr>
                <w:rFonts w:ascii="仿宋_GB2312" w:eastAsia="仿宋_GB2312" w:hAnsiTheme="minorEastAsia"/>
                <w:sz w:val="18"/>
                <w:szCs w:val="18"/>
              </w:rPr>
              <w:t>……</w:t>
            </w:r>
            <w:r>
              <w:rPr>
                <w:rFonts w:ascii="仿宋_GB2312" w:eastAsia="仿宋_GB2312" w:hAnsiTheme="minorEastAsia" w:hint="eastAsia"/>
                <w:sz w:val="18"/>
                <w:szCs w:val="18"/>
              </w:rPr>
              <w:t>牵头负责项目建设情况的督查、考核；督促有关单位加强重点项目建设质量和安全生产工作；配合国家、省重大项目建设稽察特派员办公室开展工作。</w:t>
            </w:r>
          </w:p>
          <w:p w:rsidR="001F0ECF" w:rsidRDefault="001F0ECF">
            <w:pPr>
              <w:rPr>
                <w:rFonts w:ascii="仿宋_GB2312" w:eastAsia="仿宋_GB2312" w:hAnsiTheme="minorEastAsia"/>
                <w:sz w:val="18"/>
                <w:szCs w:val="18"/>
              </w:rPr>
            </w:pPr>
          </w:p>
          <w:p w:rsidR="001F0ECF" w:rsidRDefault="001F0ECF">
            <w:pPr>
              <w:rPr>
                <w:rFonts w:ascii="仿宋_GB2312" w:eastAsia="仿宋_GB2312" w:hAnsiTheme="minorEastAsia"/>
                <w:sz w:val="18"/>
                <w:szCs w:val="18"/>
              </w:rPr>
            </w:pPr>
          </w:p>
          <w:p w:rsidR="001F0ECF" w:rsidRDefault="001F0ECF">
            <w:pPr>
              <w:rPr>
                <w:rFonts w:ascii="仿宋_GB2312" w:eastAsia="仿宋_GB2312" w:hAnsiTheme="minorEastAsia"/>
                <w:sz w:val="18"/>
                <w:szCs w:val="18"/>
              </w:rPr>
            </w:pPr>
          </w:p>
          <w:p w:rsidR="001F0ECF" w:rsidRDefault="001F0ECF">
            <w:pPr>
              <w:rPr>
                <w:rFonts w:ascii="仿宋_GB2312" w:eastAsia="仿宋_GB2312" w:hAnsiTheme="minorEastAsia"/>
                <w:sz w:val="18"/>
                <w:szCs w:val="18"/>
              </w:rPr>
            </w:pPr>
          </w:p>
          <w:p w:rsidR="001F0ECF" w:rsidRDefault="001F0ECF">
            <w:pPr>
              <w:rPr>
                <w:rFonts w:ascii="仿宋_GB2312" w:eastAsia="仿宋_GB2312" w:hAnsiTheme="minorEastAsia"/>
                <w:sz w:val="18"/>
                <w:szCs w:val="18"/>
              </w:rPr>
            </w:pPr>
          </w:p>
          <w:p w:rsidR="001F0ECF" w:rsidRDefault="001F0ECF">
            <w:pPr>
              <w:rPr>
                <w:rFonts w:ascii="仿宋_GB2312" w:eastAsia="仿宋_GB2312" w:hAnsiTheme="minorEastAsia"/>
                <w:sz w:val="18"/>
                <w:szCs w:val="18"/>
              </w:rPr>
            </w:pPr>
          </w:p>
          <w:p w:rsidR="001F0ECF" w:rsidRDefault="001F0ECF">
            <w:pPr>
              <w:rPr>
                <w:rFonts w:ascii="仿宋_GB2312" w:eastAsia="仿宋_GB2312" w:hAnsiTheme="minorEastAsia"/>
                <w:sz w:val="18"/>
                <w:szCs w:val="18"/>
              </w:rPr>
            </w:pPr>
          </w:p>
          <w:p w:rsidR="001F0ECF" w:rsidRDefault="001F0ECF">
            <w:pPr>
              <w:spacing w:line="280" w:lineRule="exact"/>
              <w:ind w:firstLine="360"/>
              <w:rPr>
                <w:rFonts w:ascii="仿宋_GB2312" w:eastAsia="仿宋_GB2312"/>
                <w:sz w:val="18"/>
                <w:szCs w:val="18"/>
              </w:rPr>
            </w:pPr>
          </w:p>
        </w:tc>
        <w:tc>
          <w:tcPr>
            <w:tcW w:w="1559" w:type="dxa"/>
          </w:tcPr>
          <w:p w:rsidR="001F0ECF" w:rsidRDefault="003F3FAF">
            <w:pPr>
              <w:rPr>
                <w:rFonts w:ascii="仿宋_GB2312" w:eastAsia="仿宋_GB2312"/>
                <w:sz w:val="18"/>
                <w:szCs w:val="18"/>
              </w:rPr>
            </w:pPr>
            <w:r>
              <w:rPr>
                <w:rFonts w:ascii="仿宋_GB2312" w:eastAsia="仿宋_GB2312" w:hint="eastAsia"/>
                <w:sz w:val="18"/>
                <w:szCs w:val="18"/>
              </w:rPr>
              <w:t>对项目建设进度、质量、安全等进行检查督促，对项目建设单位的年度目标任务完成情况进行督查。</w:t>
            </w:r>
          </w:p>
          <w:p w:rsidR="001F0ECF" w:rsidRDefault="001F0ECF">
            <w:pPr>
              <w:spacing w:line="280" w:lineRule="exact"/>
              <w:rPr>
                <w:rFonts w:ascii="仿宋_GB2312" w:eastAsia="仿宋_GB2312" w:cs="宋体"/>
                <w:kern w:val="0"/>
                <w:sz w:val="18"/>
                <w:szCs w:val="18"/>
              </w:rPr>
            </w:pPr>
          </w:p>
        </w:tc>
        <w:tc>
          <w:tcPr>
            <w:tcW w:w="156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项目服务处会同有关业务处室</w:t>
            </w:r>
          </w:p>
        </w:tc>
        <w:tc>
          <w:tcPr>
            <w:tcW w:w="1134"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年度市重点项目数量</w:t>
            </w:r>
          </w:p>
        </w:tc>
        <w:tc>
          <w:tcPr>
            <w:tcW w:w="85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原则上不低于检查对象（项目）的3%</w:t>
            </w:r>
          </w:p>
        </w:tc>
        <w:tc>
          <w:tcPr>
            <w:tcW w:w="812"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1-2次/年</w:t>
            </w:r>
          </w:p>
        </w:tc>
        <w:tc>
          <w:tcPr>
            <w:tcW w:w="1237" w:type="dxa"/>
          </w:tcPr>
          <w:p w:rsidR="001F0ECF" w:rsidRDefault="001F0ECF">
            <w:pPr>
              <w:spacing w:line="280" w:lineRule="exact"/>
              <w:rPr>
                <w:rFonts w:ascii="仿宋_GB2312" w:eastAsia="仿宋_GB2312"/>
                <w:sz w:val="24"/>
              </w:rPr>
            </w:pPr>
          </w:p>
        </w:tc>
      </w:tr>
      <w:tr w:rsidR="001F0ECF">
        <w:trPr>
          <w:trHeight w:val="497"/>
          <w:jc w:val="center"/>
        </w:trPr>
        <w:tc>
          <w:tcPr>
            <w:tcW w:w="644" w:type="dxa"/>
            <w:vAlign w:val="center"/>
          </w:tcPr>
          <w:p w:rsidR="001F0ECF" w:rsidRDefault="003F3FAF">
            <w:pPr>
              <w:spacing w:line="280" w:lineRule="exact"/>
              <w:jc w:val="center"/>
              <w:rPr>
                <w:rFonts w:ascii="仿宋_GB2312" w:eastAsia="仿宋_GB2312"/>
                <w:szCs w:val="21"/>
              </w:rPr>
            </w:pPr>
            <w:r>
              <w:rPr>
                <w:rFonts w:ascii="仿宋_GB2312" w:eastAsia="仿宋_GB2312" w:hint="eastAsia"/>
                <w:szCs w:val="21"/>
              </w:rPr>
              <w:lastRenderedPageBreak/>
              <w:t>3</w:t>
            </w:r>
          </w:p>
        </w:tc>
        <w:tc>
          <w:tcPr>
            <w:tcW w:w="1339"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对价格活动的监督检查</w:t>
            </w:r>
          </w:p>
        </w:tc>
        <w:tc>
          <w:tcPr>
            <w:tcW w:w="5103" w:type="dxa"/>
          </w:tcPr>
          <w:p w:rsidR="001F0ECF" w:rsidRDefault="003F3FAF">
            <w:pPr>
              <w:spacing w:line="280" w:lineRule="exact"/>
              <w:ind w:firstLineChars="200" w:firstLine="360"/>
              <w:rPr>
                <w:rFonts w:ascii="仿宋_GB2312" w:eastAsia="仿宋_GB2312"/>
                <w:sz w:val="18"/>
                <w:szCs w:val="18"/>
              </w:rPr>
            </w:pPr>
            <w:r>
              <w:rPr>
                <w:rFonts w:ascii="仿宋_GB2312" w:eastAsia="仿宋_GB2312" w:hint="eastAsia"/>
                <w:sz w:val="18"/>
                <w:szCs w:val="18"/>
              </w:rPr>
              <w:t>1.《价格法》第三十三条  县级以上各级人民政府价格主管部门，依法对价格活动进行监督检查，并依照本法的规定对价格违法行为实施行政处罚。</w:t>
            </w:r>
          </w:p>
          <w:p w:rsidR="001F0ECF" w:rsidRDefault="003F3FAF">
            <w:pPr>
              <w:spacing w:line="280" w:lineRule="exact"/>
              <w:rPr>
                <w:rFonts w:ascii="仿宋_GB2312" w:eastAsia="仿宋_GB2312"/>
                <w:sz w:val="18"/>
                <w:szCs w:val="18"/>
              </w:rPr>
            </w:pPr>
            <w:r>
              <w:rPr>
                <w:rFonts w:ascii="仿宋_GB2312" w:eastAsia="仿宋_GB2312" w:hint="eastAsia"/>
                <w:sz w:val="18"/>
                <w:szCs w:val="18"/>
              </w:rPr>
              <w:t xml:space="preserve">    2.《价格违法行为行政处罚规定》（国务院令第585号）第二条  县级以上各级人民政府价格主管部门依法对价格活动进行监督检查，并决定对价格违法行为的行政处罚。</w:t>
            </w:r>
          </w:p>
          <w:p w:rsidR="001F0ECF" w:rsidRDefault="003F3FAF">
            <w:pPr>
              <w:spacing w:line="280" w:lineRule="exact"/>
              <w:rPr>
                <w:rFonts w:ascii="仿宋_GB2312" w:eastAsia="仿宋_GB2312"/>
                <w:sz w:val="18"/>
                <w:szCs w:val="18"/>
              </w:rPr>
            </w:pPr>
            <w:r>
              <w:rPr>
                <w:rFonts w:ascii="仿宋_GB2312" w:eastAsia="仿宋_GB2312" w:hint="eastAsia"/>
                <w:sz w:val="18"/>
                <w:szCs w:val="18"/>
              </w:rPr>
              <w:t xml:space="preserve">    3.《福建省价格管理条例》(1998年福建省九届人民代表大会常务委员会第二次会议通过)第三条  县级以上人民政府价格主管部门(简称价格主管部门)统一负责本行政区域内的价格监督管理工作，其他有关部门依法在各自的职责范围内，负责有关的价格工作。  第十九条  价格主管部门应依法对价格活动进行监督、检查，支持消费者和各类社会组织及新闻单位依法对价格行为进行社会监督或舆论监督，及时受理投诉和举报，查处价格违法行为。</w:t>
            </w:r>
          </w:p>
        </w:tc>
        <w:tc>
          <w:tcPr>
            <w:tcW w:w="1559" w:type="dxa"/>
          </w:tcPr>
          <w:p w:rsidR="001F0ECF" w:rsidRDefault="003F3FAF">
            <w:pPr>
              <w:adjustRightInd w:val="0"/>
              <w:snapToGrid w:val="0"/>
              <w:spacing w:line="240" w:lineRule="exact"/>
              <w:rPr>
                <w:rFonts w:ascii="仿宋_GB2312" w:eastAsia="仿宋_GB2312" w:hAnsi="仿宋"/>
                <w:kern w:val="0"/>
                <w:sz w:val="18"/>
                <w:szCs w:val="18"/>
              </w:rPr>
            </w:pPr>
            <w:r>
              <w:rPr>
                <w:rFonts w:ascii="仿宋_GB2312" w:eastAsia="仿宋_GB2312" w:hAnsi="仿宋" w:hint="eastAsia"/>
                <w:kern w:val="0"/>
                <w:sz w:val="18"/>
                <w:szCs w:val="18"/>
              </w:rPr>
              <w:t>1.是否不执行政府指导价、政府定价行为</w:t>
            </w:r>
          </w:p>
          <w:p w:rsidR="001F0ECF" w:rsidRDefault="003F3FAF">
            <w:pPr>
              <w:adjustRightInd w:val="0"/>
              <w:snapToGrid w:val="0"/>
              <w:spacing w:line="240" w:lineRule="exact"/>
              <w:rPr>
                <w:rFonts w:ascii="仿宋_GB2312" w:eastAsia="仿宋_GB2312" w:hAnsi="仿宋"/>
                <w:kern w:val="0"/>
                <w:sz w:val="18"/>
                <w:szCs w:val="18"/>
              </w:rPr>
            </w:pPr>
            <w:r>
              <w:rPr>
                <w:rFonts w:ascii="仿宋_GB2312" w:eastAsia="仿宋_GB2312" w:hAnsi="仿宋" w:hint="eastAsia"/>
                <w:kern w:val="0"/>
                <w:sz w:val="18"/>
                <w:szCs w:val="18"/>
              </w:rPr>
              <w:t>2.是否不执行法定价格干预措施、紧急措施</w:t>
            </w:r>
          </w:p>
          <w:p w:rsidR="001F0ECF" w:rsidRDefault="003F3FAF">
            <w:pPr>
              <w:adjustRightInd w:val="0"/>
              <w:snapToGrid w:val="0"/>
              <w:spacing w:line="240" w:lineRule="exact"/>
              <w:rPr>
                <w:rFonts w:ascii="仿宋_GB2312" w:eastAsia="仿宋_GB2312" w:hAnsi="仿宋"/>
                <w:kern w:val="0"/>
                <w:sz w:val="18"/>
                <w:szCs w:val="18"/>
              </w:rPr>
            </w:pPr>
            <w:r>
              <w:rPr>
                <w:rFonts w:ascii="仿宋_GB2312" w:eastAsia="仿宋_GB2312" w:hAnsi="仿宋" w:hint="eastAsia"/>
                <w:kern w:val="0"/>
                <w:sz w:val="18"/>
                <w:szCs w:val="18"/>
              </w:rPr>
              <w:t>3.是否存在低价倾销行为</w:t>
            </w:r>
          </w:p>
          <w:p w:rsidR="001F0ECF" w:rsidRDefault="003F3FAF">
            <w:pPr>
              <w:adjustRightInd w:val="0"/>
              <w:snapToGrid w:val="0"/>
              <w:spacing w:line="240" w:lineRule="exact"/>
              <w:rPr>
                <w:rFonts w:ascii="仿宋_GB2312" w:eastAsia="仿宋_GB2312" w:hAnsi="仿宋"/>
                <w:kern w:val="0"/>
                <w:sz w:val="18"/>
                <w:szCs w:val="18"/>
              </w:rPr>
            </w:pPr>
            <w:r>
              <w:rPr>
                <w:rFonts w:ascii="仿宋_GB2312" w:eastAsia="仿宋_GB2312" w:hAnsi="仿宋" w:hint="eastAsia"/>
                <w:kern w:val="0"/>
                <w:sz w:val="18"/>
                <w:szCs w:val="18"/>
              </w:rPr>
              <w:t>4.是否存在价格歧视、哄抬价格、价格欺诈、变相提价或压价和牟取暴利等行为</w:t>
            </w:r>
          </w:p>
          <w:p w:rsidR="001F0ECF" w:rsidRDefault="003F3FAF">
            <w:pPr>
              <w:adjustRightInd w:val="0"/>
              <w:snapToGrid w:val="0"/>
              <w:spacing w:line="240" w:lineRule="exact"/>
              <w:rPr>
                <w:rFonts w:ascii="仿宋_GB2312" w:eastAsia="仿宋_GB2312" w:hAnsi="仿宋"/>
                <w:kern w:val="0"/>
                <w:sz w:val="18"/>
                <w:szCs w:val="18"/>
              </w:rPr>
            </w:pPr>
            <w:r>
              <w:rPr>
                <w:rFonts w:ascii="仿宋_GB2312" w:eastAsia="仿宋_GB2312" w:hAnsi="仿宋" w:hint="eastAsia"/>
                <w:kern w:val="0"/>
                <w:sz w:val="18"/>
                <w:szCs w:val="18"/>
              </w:rPr>
              <w:t>5.是否存在价格串通行为</w:t>
            </w:r>
          </w:p>
          <w:p w:rsidR="001F0ECF" w:rsidRDefault="003F3FAF">
            <w:pPr>
              <w:spacing w:line="280" w:lineRule="exact"/>
              <w:rPr>
                <w:rFonts w:ascii="仿宋_GB2312" w:eastAsia="仿宋_GB2312" w:cs="宋体"/>
                <w:kern w:val="0"/>
                <w:sz w:val="18"/>
                <w:szCs w:val="18"/>
              </w:rPr>
            </w:pPr>
            <w:r>
              <w:rPr>
                <w:rFonts w:ascii="仿宋_GB2312" w:eastAsia="仿宋_GB2312" w:hAnsi="仿宋" w:hint="eastAsia"/>
                <w:kern w:val="0"/>
                <w:sz w:val="18"/>
                <w:szCs w:val="18"/>
              </w:rPr>
              <w:t>6.是否违反明码标价规定</w:t>
            </w:r>
          </w:p>
        </w:tc>
        <w:tc>
          <w:tcPr>
            <w:tcW w:w="156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价格监督检查分局</w:t>
            </w:r>
          </w:p>
        </w:tc>
        <w:tc>
          <w:tcPr>
            <w:tcW w:w="1134" w:type="dxa"/>
          </w:tcPr>
          <w:p w:rsidR="001F0ECF" w:rsidRDefault="003F3FAF">
            <w:pPr>
              <w:spacing w:line="240" w:lineRule="exact"/>
            </w:pPr>
            <w:bookmarkStart w:id="0" w:name="_GoBack"/>
            <w:bookmarkEnd w:id="0"/>
            <w:r>
              <w:rPr>
                <w:rFonts w:ascii="仿宋_GB2312" w:eastAsia="仿宋_GB2312" w:hint="eastAsia"/>
                <w:sz w:val="18"/>
                <w:szCs w:val="18"/>
              </w:rPr>
              <w:t>1.属于《福建省价格行政处罚管辖规定》（闽价检</w:t>
            </w:r>
            <w:r>
              <w:rPr>
                <w:rFonts w:ascii="仿宋_GB2312" w:eastAsia="仿宋_GB2312" w:hAnsiTheme="minorEastAsia" w:hint="eastAsia"/>
                <w:sz w:val="18"/>
                <w:szCs w:val="18"/>
              </w:rPr>
              <w:t>〔2013〕279号）第六条规定的市级价格主管部门管辖对象；2.</w:t>
            </w:r>
            <w:r>
              <w:rPr>
                <w:rFonts w:ascii="仿宋_GB2312" w:eastAsia="仿宋_GB2312" w:hint="eastAsia"/>
                <w:sz w:val="18"/>
                <w:szCs w:val="18"/>
              </w:rPr>
              <w:t>其他福州市发展和改革委员会（市物价局）具有管辖权的管辖对象</w:t>
            </w:r>
          </w:p>
          <w:p w:rsidR="001F0ECF" w:rsidRDefault="001F0ECF">
            <w:pPr>
              <w:spacing w:line="280" w:lineRule="exact"/>
              <w:rPr>
                <w:rFonts w:ascii="仿宋_GB2312" w:eastAsia="仿宋_GB2312"/>
                <w:sz w:val="18"/>
                <w:szCs w:val="18"/>
              </w:rPr>
            </w:pPr>
          </w:p>
        </w:tc>
        <w:tc>
          <w:tcPr>
            <w:tcW w:w="85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原则上不低于检查对象的5%</w:t>
            </w:r>
          </w:p>
        </w:tc>
        <w:tc>
          <w:tcPr>
            <w:tcW w:w="812" w:type="dxa"/>
          </w:tcPr>
          <w:p w:rsidR="001F0ECF" w:rsidRDefault="00D9461B">
            <w:pPr>
              <w:spacing w:line="280" w:lineRule="exact"/>
              <w:rPr>
                <w:rFonts w:ascii="仿宋_GB2312" w:eastAsia="仿宋_GB2312"/>
                <w:sz w:val="18"/>
                <w:szCs w:val="18"/>
              </w:rPr>
            </w:pPr>
            <w:r>
              <w:rPr>
                <w:rFonts w:ascii="仿宋_GB2312" w:eastAsia="仿宋_GB2312" w:hint="eastAsia"/>
                <w:sz w:val="18"/>
                <w:szCs w:val="18"/>
              </w:rPr>
              <w:t>每年不少于2次或根据上级统一部署开展</w:t>
            </w:r>
          </w:p>
        </w:tc>
        <w:tc>
          <w:tcPr>
            <w:tcW w:w="1237" w:type="dxa"/>
          </w:tcPr>
          <w:p w:rsidR="001F0ECF" w:rsidRDefault="001F0ECF">
            <w:pPr>
              <w:spacing w:line="280" w:lineRule="exact"/>
              <w:rPr>
                <w:rFonts w:ascii="仿宋_GB2312" w:eastAsia="仿宋_GB2312"/>
                <w:sz w:val="18"/>
                <w:szCs w:val="18"/>
              </w:rPr>
            </w:pPr>
          </w:p>
        </w:tc>
      </w:tr>
      <w:tr w:rsidR="001F0ECF">
        <w:trPr>
          <w:trHeight w:val="497"/>
          <w:jc w:val="center"/>
        </w:trPr>
        <w:tc>
          <w:tcPr>
            <w:tcW w:w="644" w:type="dxa"/>
            <w:vAlign w:val="center"/>
          </w:tcPr>
          <w:p w:rsidR="001F0ECF" w:rsidRDefault="003F3FAF">
            <w:pPr>
              <w:spacing w:line="280" w:lineRule="exact"/>
              <w:jc w:val="center"/>
              <w:rPr>
                <w:rFonts w:ascii="仿宋_GB2312" w:eastAsia="仿宋_GB2312"/>
                <w:sz w:val="24"/>
              </w:rPr>
            </w:pPr>
            <w:r>
              <w:rPr>
                <w:rFonts w:ascii="仿宋_GB2312" w:eastAsia="仿宋_GB2312" w:hint="eastAsia"/>
                <w:sz w:val="24"/>
              </w:rPr>
              <w:t>4</w:t>
            </w:r>
          </w:p>
        </w:tc>
        <w:tc>
          <w:tcPr>
            <w:tcW w:w="1339"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对行政事业性收费的监督检查</w:t>
            </w:r>
          </w:p>
        </w:tc>
        <w:tc>
          <w:tcPr>
            <w:tcW w:w="5103" w:type="dxa"/>
          </w:tcPr>
          <w:p w:rsidR="001F0ECF" w:rsidRDefault="003F3FAF">
            <w:pPr>
              <w:ind w:firstLineChars="200" w:firstLine="360"/>
              <w:rPr>
                <w:rFonts w:ascii="仿宋_GB2312" w:eastAsia="仿宋_GB2312"/>
                <w:sz w:val="18"/>
                <w:szCs w:val="18"/>
              </w:rPr>
            </w:pPr>
            <w:r>
              <w:rPr>
                <w:rFonts w:ascii="仿宋_GB2312" w:eastAsia="仿宋_GB2312" w:hint="eastAsia"/>
                <w:sz w:val="18"/>
                <w:szCs w:val="18"/>
              </w:rPr>
              <w:t>《福建省行政事业性收费管理条例》（2017年省第十二届人大常委会第三十一次会议通过）第二十三条  收费单位应当主动接受财政、价格主管部门对其行政事业性收费项目、标准、范围、票证、收支及征收管理工作进行的监督检查。</w:t>
            </w:r>
          </w:p>
          <w:p w:rsidR="001F0ECF" w:rsidRDefault="001F0ECF">
            <w:pPr>
              <w:spacing w:line="280" w:lineRule="exact"/>
              <w:rPr>
                <w:rFonts w:ascii="仿宋_GB2312" w:eastAsia="仿宋_GB2312"/>
                <w:sz w:val="18"/>
                <w:szCs w:val="18"/>
              </w:rPr>
            </w:pPr>
          </w:p>
        </w:tc>
        <w:tc>
          <w:tcPr>
            <w:tcW w:w="1559" w:type="dxa"/>
          </w:tcPr>
          <w:p w:rsidR="001F0ECF" w:rsidRDefault="003F3FAF">
            <w:pPr>
              <w:adjustRightInd w:val="0"/>
              <w:snapToGrid w:val="0"/>
              <w:spacing w:line="280" w:lineRule="exact"/>
              <w:rPr>
                <w:rFonts w:ascii="仿宋_GB2312" w:eastAsia="仿宋_GB2312" w:hAnsi="仿宋" w:cs="宋体"/>
                <w:spacing w:val="-8"/>
                <w:kern w:val="0"/>
                <w:sz w:val="18"/>
                <w:szCs w:val="18"/>
              </w:rPr>
            </w:pPr>
            <w:r>
              <w:rPr>
                <w:rFonts w:ascii="仿宋_GB2312" w:eastAsia="仿宋_GB2312" w:hAnsi="仿宋" w:cs="宋体" w:hint="eastAsia"/>
                <w:spacing w:val="-8"/>
                <w:kern w:val="0"/>
                <w:sz w:val="18"/>
                <w:szCs w:val="18"/>
              </w:rPr>
              <w:t>1.是否存在违法收费行为；</w:t>
            </w:r>
          </w:p>
          <w:p w:rsidR="001F0ECF" w:rsidRDefault="003F3FAF">
            <w:pPr>
              <w:spacing w:line="280" w:lineRule="exact"/>
              <w:rPr>
                <w:rFonts w:ascii="仿宋_GB2312" w:eastAsia="仿宋_GB2312" w:cs="宋体"/>
                <w:kern w:val="0"/>
                <w:sz w:val="18"/>
                <w:szCs w:val="18"/>
              </w:rPr>
            </w:pPr>
            <w:r>
              <w:rPr>
                <w:rFonts w:ascii="仿宋_GB2312" w:eastAsia="仿宋_GB2312" w:hAnsi="仿宋" w:cs="宋体" w:hint="eastAsia"/>
                <w:spacing w:val="-8"/>
                <w:kern w:val="0"/>
                <w:sz w:val="18"/>
                <w:szCs w:val="18"/>
              </w:rPr>
              <w:t>2.对收费单位年度报告的抽查</w:t>
            </w:r>
          </w:p>
        </w:tc>
        <w:tc>
          <w:tcPr>
            <w:tcW w:w="1560" w:type="dxa"/>
          </w:tcPr>
          <w:p w:rsidR="001F0ECF" w:rsidRDefault="003F3FAF" w:rsidP="00385520">
            <w:pPr>
              <w:spacing w:line="280" w:lineRule="exact"/>
              <w:rPr>
                <w:rFonts w:ascii="仿宋_GB2312" w:eastAsia="仿宋_GB2312"/>
                <w:sz w:val="18"/>
                <w:szCs w:val="18"/>
              </w:rPr>
            </w:pPr>
            <w:r>
              <w:rPr>
                <w:rFonts w:ascii="仿宋_GB2312" w:eastAsia="仿宋_GB2312" w:hint="eastAsia"/>
                <w:sz w:val="18"/>
                <w:szCs w:val="18"/>
              </w:rPr>
              <w:t>价格监督检查分局</w:t>
            </w:r>
          </w:p>
        </w:tc>
        <w:tc>
          <w:tcPr>
            <w:tcW w:w="1134" w:type="dxa"/>
          </w:tcPr>
          <w:p w:rsidR="001F0ECF" w:rsidRDefault="003F3FAF">
            <w:pPr>
              <w:rPr>
                <w:rFonts w:ascii="仿宋_GB2312" w:eastAsia="仿宋_GB2312"/>
                <w:b/>
                <w:sz w:val="18"/>
                <w:szCs w:val="18"/>
              </w:rPr>
            </w:pPr>
            <w:r>
              <w:rPr>
                <w:rFonts w:ascii="仿宋_GB2312" w:eastAsia="仿宋_GB2312" w:hint="eastAsia"/>
                <w:sz w:val="18"/>
                <w:szCs w:val="18"/>
              </w:rPr>
              <w:t>福州市发展改革委（市物价局）具有管辖权的行政事业性收费单位</w:t>
            </w:r>
          </w:p>
          <w:p w:rsidR="001F0ECF" w:rsidRDefault="001F0ECF">
            <w:pPr>
              <w:spacing w:line="280" w:lineRule="exact"/>
              <w:rPr>
                <w:rFonts w:ascii="仿宋_GB2312" w:eastAsia="仿宋_GB2312"/>
                <w:sz w:val="18"/>
                <w:szCs w:val="18"/>
              </w:rPr>
            </w:pPr>
          </w:p>
        </w:tc>
        <w:tc>
          <w:tcPr>
            <w:tcW w:w="850" w:type="dxa"/>
          </w:tcPr>
          <w:p w:rsidR="001F0ECF" w:rsidRDefault="003F3FAF">
            <w:pPr>
              <w:spacing w:line="280" w:lineRule="exact"/>
              <w:rPr>
                <w:rFonts w:ascii="仿宋_GB2312" w:eastAsia="仿宋_GB2312"/>
                <w:sz w:val="18"/>
                <w:szCs w:val="18"/>
              </w:rPr>
            </w:pPr>
            <w:r>
              <w:rPr>
                <w:rFonts w:ascii="仿宋_GB2312" w:eastAsia="仿宋_GB2312" w:hint="eastAsia"/>
                <w:sz w:val="18"/>
                <w:szCs w:val="18"/>
              </w:rPr>
              <w:t>原则上不低于检查对象的5%</w:t>
            </w:r>
          </w:p>
        </w:tc>
        <w:tc>
          <w:tcPr>
            <w:tcW w:w="812" w:type="dxa"/>
          </w:tcPr>
          <w:p w:rsidR="001F0ECF" w:rsidRDefault="00D9461B">
            <w:pPr>
              <w:spacing w:line="280" w:lineRule="exact"/>
              <w:rPr>
                <w:rFonts w:ascii="仿宋_GB2312" w:eastAsia="仿宋_GB2312"/>
                <w:sz w:val="18"/>
                <w:szCs w:val="18"/>
              </w:rPr>
            </w:pPr>
            <w:r>
              <w:rPr>
                <w:rFonts w:ascii="仿宋_GB2312" w:eastAsia="仿宋_GB2312" w:hint="eastAsia"/>
                <w:sz w:val="18"/>
                <w:szCs w:val="18"/>
              </w:rPr>
              <w:t>每年</w:t>
            </w:r>
            <w:r w:rsidR="002D799F">
              <w:rPr>
                <w:rFonts w:ascii="仿宋_GB2312" w:eastAsia="仿宋_GB2312" w:hint="eastAsia"/>
                <w:sz w:val="18"/>
                <w:szCs w:val="18"/>
              </w:rPr>
              <w:t>1</w:t>
            </w:r>
            <w:r w:rsidR="00385520">
              <w:rPr>
                <w:rFonts w:ascii="仿宋_GB2312" w:eastAsia="仿宋_GB2312" w:hint="eastAsia"/>
                <w:sz w:val="18"/>
                <w:szCs w:val="18"/>
              </w:rPr>
              <w:t>-2</w:t>
            </w:r>
            <w:r w:rsidR="003F3FAF">
              <w:rPr>
                <w:rFonts w:ascii="仿宋_GB2312" w:eastAsia="仿宋_GB2312" w:hint="eastAsia"/>
                <w:sz w:val="18"/>
                <w:szCs w:val="18"/>
              </w:rPr>
              <w:t>次或根据上级统一部署开展</w:t>
            </w:r>
          </w:p>
        </w:tc>
        <w:tc>
          <w:tcPr>
            <w:tcW w:w="1237" w:type="dxa"/>
          </w:tcPr>
          <w:p w:rsidR="001F0ECF" w:rsidRDefault="001F0ECF">
            <w:pPr>
              <w:spacing w:line="280" w:lineRule="exact"/>
              <w:rPr>
                <w:rFonts w:ascii="仿宋_GB2312" w:eastAsia="仿宋_GB2312"/>
                <w:sz w:val="18"/>
                <w:szCs w:val="18"/>
              </w:rPr>
            </w:pPr>
          </w:p>
        </w:tc>
      </w:tr>
    </w:tbl>
    <w:p w:rsidR="001F0ECF" w:rsidRDefault="003F3FAF">
      <w:pPr>
        <w:spacing w:line="580" w:lineRule="exact"/>
        <w:rPr>
          <w:rFonts w:ascii="仿宋_GB2312" w:eastAsia="仿宋_GB2312"/>
          <w:sz w:val="32"/>
          <w:szCs w:val="32"/>
        </w:rPr>
      </w:pPr>
      <w:r>
        <w:rPr>
          <w:rFonts w:ascii="仿宋_GB2312" w:eastAsia="仿宋_GB2312" w:hint="eastAsia"/>
          <w:sz w:val="32"/>
          <w:szCs w:val="32"/>
        </w:rPr>
        <w:t>备注：1.“抽查主体”填写承担抽查工作的部门内设机构或责任单位；</w:t>
      </w:r>
    </w:p>
    <w:p w:rsidR="001F0ECF" w:rsidRDefault="003F3FAF">
      <w:pPr>
        <w:spacing w:line="580" w:lineRule="exact"/>
        <w:ind w:firstLineChars="300" w:firstLine="960"/>
        <w:rPr>
          <w:rFonts w:ascii="黑体" w:eastAsia="黑体"/>
          <w:sz w:val="32"/>
          <w:szCs w:val="32"/>
        </w:rPr>
      </w:pPr>
      <w:r>
        <w:rPr>
          <w:rFonts w:ascii="仿宋_GB2312" w:eastAsia="仿宋_GB2312" w:hint="eastAsia"/>
          <w:sz w:val="32"/>
          <w:szCs w:val="32"/>
        </w:rPr>
        <w:t>2.“抽查对象”“抽查比例”“抽查频次”由各部门根据实际情况填写。</w:t>
      </w:r>
    </w:p>
    <w:p w:rsidR="001F0ECF" w:rsidRDefault="001F0ECF"/>
    <w:sectPr w:rsidR="001F0ECF" w:rsidSect="001F0EC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FAF" w:rsidRDefault="003F3FAF" w:rsidP="003F3FAF">
      <w:r>
        <w:separator/>
      </w:r>
    </w:p>
  </w:endnote>
  <w:endnote w:type="continuationSeparator" w:id="1">
    <w:p w:rsidR="003F3FAF" w:rsidRDefault="003F3FAF" w:rsidP="003F3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FAF" w:rsidRDefault="003F3FAF" w:rsidP="003F3FAF">
      <w:r>
        <w:separator/>
      </w:r>
    </w:p>
  </w:footnote>
  <w:footnote w:type="continuationSeparator" w:id="1">
    <w:p w:rsidR="003F3FAF" w:rsidRDefault="003F3FAF" w:rsidP="003F3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1EB6A3"/>
    <w:multiLevelType w:val="singleLevel"/>
    <w:tmpl w:val="FB1EB6A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D73AF9"/>
    <w:rsid w:val="001F0ECF"/>
    <w:rsid w:val="002D799F"/>
    <w:rsid w:val="00385520"/>
    <w:rsid w:val="003F3FAF"/>
    <w:rsid w:val="0091656C"/>
    <w:rsid w:val="009D7D4C"/>
    <w:rsid w:val="00D9461B"/>
    <w:rsid w:val="35D73AF9"/>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EC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3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3FAF"/>
    <w:rPr>
      <w:rFonts w:ascii="Times New Roman" w:eastAsia="宋体" w:hAnsi="Times New Roman" w:cs="Times New Roman"/>
      <w:kern w:val="2"/>
      <w:sz w:val="18"/>
      <w:szCs w:val="18"/>
    </w:rPr>
  </w:style>
  <w:style w:type="paragraph" w:styleId="a4">
    <w:name w:val="footer"/>
    <w:basedOn w:val="a"/>
    <w:link w:val="Char0"/>
    <w:rsid w:val="003F3FAF"/>
    <w:pPr>
      <w:tabs>
        <w:tab w:val="center" w:pos="4153"/>
        <w:tab w:val="right" w:pos="8306"/>
      </w:tabs>
      <w:snapToGrid w:val="0"/>
      <w:jc w:val="left"/>
    </w:pPr>
    <w:rPr>
      <w:sz w:val="18"/>
      <w:szCs w:val="18"/>
    </w:rPr>
  </w:style>
  <w:style w:type="character" w:customStyle="1" w:styleId="Char0">
    <w:name w:val="页脚 Char"/>
    <w:basedOn w:val="a0"/>
    <w:link w:val="a4"/>
    <w:rsid w:val="003F3FA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27</TotalTime>
  <Pages>3</Pages>
  <Words>1878</Words>
  <Characters>255</Characters>
  <Application>Microsoft Office Word</Application>
  <DocSecurity>0</DocSecurity>
  <Lines>2</Lines>
  <Paragraphs>4</Paragraphs>
  <ScaleCrop>false</ScaleCrop>
  <Company>Microsoft</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行走的鱼</dc:creator>
  <cp:lastModifiedBy>s</cp:lastModifiedBy>
  <cp:revision>4</cp:revision>
  <cp:lastPrinted>2018-12-25T07:46:00Z</cp:lastPrinted>
  <dcterms:created xsi:type="dcterms:W3CDTF">2018-10-07T15:16:00Z</dcterms:created>
  <dcterms:modified xsi:type="dcterms:W3CDTF">2018-12-25T07:46:00Z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